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602" w:rsidRDefault="00B47A65" w:rsidP="00252602">
      <w:pPr>
        <w:spacing w:after="0" w:line="240" w:lineRule="auto"/>
        <w:rPr>
          <w:rFonts w:eastAsia="Calibri" w:cs="Times New Roman"/>
          <w:color w:val="1F497D"/>
          <w:sz w:val="16"/>
          <w:szCs w:val="16"/>
        </w:rPr>
      </w:pPr>
      <w:r>
        <w:rPr>
          <w:rFonts w:eastAsia="Calibri" w:cs="Times New Roman"/>
          <w:color w:val="1F497D"/>
          <w:sz w:val="16"/>
          <w:szCs w:val="16"/>
        </w:rPr>
        <w:t>ODGOVORI</w:t>
      </w:r>
    </w:p>
    <w:p w:rsidR="00252602" w:rsidRDefault="00252602" w:rsidP="00252602">
      <w:pPr>
        <w:spacing w:after="0" w:line="240" w:lineRule="auto"/>
        <w:rPr>
          <w:rFonts w:eastAsia="Calibri" w:cs="Times New Roman"/>
          <w:color w:val="1F497D"/>
          <w:sz w:val="16"/>
          <w:szCs w:val="16"/>
        </w:rPr>
      </w:pPr>
    </w:p>
    <w:p w:rsidR="00252602" w:rsidRDefault="00252602" w:rsidP="00252602">
      <w:pPr>
        <w:spacing w:after="0" w:line="240" w:lineRule="auto"/>
        <w:rPr>
          <w:rFonts w:eastAsia="Calibri" w:cs="Times New Roman"/>
          <w:color w:val="1F497D"/>
          <w:sz w:val="16"/>
          <w:szCs w:val="16"/>
        </w:rPr>
      </w:pPr>
    </w:p>
    <w:tbl>
      <w:tblPr>
        <w:tblStyle w:val="Tabelamrea"/>
        <w:tblW w:w="14350" w:type="dxa"/>
        <w:tblLook w:val="04A0" w:firstRow="1" w:lastRow="0" w:firstColumn="1" w:lastColumn="0" w:noHBand="0" w:noVBand="1"/>
      </w:tblPr>
      <w:tblGrid>
        <w:gridCol w:w="2263"/>
        <w:gridCol w:w="3477"/>
        <w:gridCol w:w="2870"/>
        <w:gridCol w:w="2870"/>
        <w:gridCol w:w="2870"/>
      </w:tblGrid>
      <w:tr w:rsidR="00B47A65" w:rsidRPr="005B3E2E" w:rsidTr="002851F2">
        <w:trPr>
          <w:trHeight w:val="435"/>
        </w:trPr>
        <w:tc>
          <w:tcPr>
            <w:tcW w:w="5740" w:type="dxa"/>
            <w:gridSpan w:val="2"/>
            <w:vAlign w:val="center"/>
          </w:tcPr>
          <w:p w:rsidR="00B47A65" w:rsidRPr="005B3E2E" w:rsidRDefault="00B47A65" w:rsidP="002851F2">
            <w:pPr>
              <w:rPr>
                <w:rFonts w:eastAsia="Calibri" w:cs="Times New Roman"/>
                <w:color w:val="1F497D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47A65" w:rsidRPr="005B3E2E" w:rsidRDefault="00B47A65" w:rsidP="002851F2">
            <w:pPr>
              <w:rPr>
                <w:rFonts w:eastAsia="Calibri" w:cs="Times New Roman"/>
                <w:color w:val="1F497D"/>
                <w:sz w:val="16"/>
                <w:szCs w:val="16"/>
              </w:rPr>
            </w:pPr>
            <w:r w:rsidRPr="005B3E2E">
              <w:rPr>
                <w:rFonts w:eastAsia="Calibri" w:cs="Times New Roman"/>
                <w:color w:val="1F497D"/>
                <w:sz w:val="16"/>
                <w:szCs w:val="16"/>
              </w:rPr>
              <w:t>Sklop 1 (KPK)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47A65" w:rsidRPr="005B3E2E" w:rsidRDefault="00B47A65" w:rsidP="002851F2">
            <w:pPr>
              <w:rPr>
                <w:rFonts w:eastAsia="Calibri" w:cs="Times New Roman"/>
                <w:color w:val="1F497D"/>
                <w:sz w:val="16"/>
                <w:szCs w:val="16"/>
              </w:rPr>
            </w:pPr>
            <w:r w:rsidRPr="005B3E2E">
              <w:rPr>
                <w:rFonts w:eastAsia="Calibri" w:cs="Times New Roman"/>
                <w:color w:val="1F497D"/>
                <w:sz w:val="16"/>
                <w:szCs w:val="16"/>
              </w:rPr>
              <w:t>Sklop 2 (KPA)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47A65" w:rsidRPr="005B3E2E" w:rsidRDefault="00B47A65" w:rsidP="002851F2">
            <w:pPr>
              <w:rPr>
                <w:rFonts w:eastAsia="Calibri" w:cs="Times New Roman"/>
                <w:color w:val="1F497D"/>
                <w:sz w:val="16"/>
                <w:szCs w:val="16"/>
              </w:rPr>
            </w:pPr>
            <w:r w:rsidRPr="005B3E2E">
              <w:rPr>
                <w:rFonts w:eastAsia="Calibri" w:cs="Times New Roman"/>
                <w:color w:val="1F497D"/>
                <w:sz w:val="16"/>
                <w:szCs w:val="16"/>
              </w:rPr>
              <w:t>Sklop 3 (ESV)</w:t>
            </w:r>
          </w:p>
        </w:tc>
      </w:tr>
      <w:tr w:rsidR="00B47A65" w:rsidRPr="005B3E2E" w:rsidTr="00971CB2">
        <w:trPr>
          <w:trHeight w:val="435"/>
        </w:trPr>
        <w:tc>
          <w:tcPr>
            <w:tcW w:w="14350" w:type="dxa"/>
            <w:gridSpan w:val="5"/>
            <w:tcBorders>
              <w:right w:val="single" w:sz="8" w:space="0" w:color="auto"/>
            </w:tcBorders>
            <w:vAlign w:val="center"/>
          </w:tcPr>
          <w:p w:rsidR="00B47A65" w:rsidRPr="005B3E2E" w:rsidRDefault="00B47A65" w:rsidP="00252602">
            <w:pPr>
              <w:rPr>
                <w:rFonts w:eastAsia="Calibri" w:cs="Times New Roman"/>
                <w:color w:val="1F497D"/>
                <w:sz w:val="16"/>
                <w:szCs w:val="16"/>
              </w:rPr>
            </w:pPr>
            <w:r w:rsidRPr="005B3E2E">
              <w:rPr>
                <w:rFonts w:eastAsia="Calibri" w:cs="Times New Roman"/>
                <w:color w:val="1F497D"/>
                <w:sz w:val="16"/>
                <w:szCs w:val="16"/>
              </w:rPr>
              <w:t>Vprašanja z dne 16. 4. 2024 ob 11.29</w:t>
            </w:r>
          </w:p>
        </w:tc>
      </w:tr>
      <w:tr w:rsidR="005B3E2E" w:rsidRPr="005B3E2E" w:rsidTr="005B3E2E">
        <w:trPr>
          <w:trHeight w:val="402"/>
        </w:trPr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numPr>
                <w:ilvl w:val="0"/>
                <w:numId w:val="1"/>
              </w:numPr>
              <w:rPr>
                <w:rFonts w:eastAsia="Calibri" w:cs="Times New Roman"/>
                <w:color w:val="1F497D"/>
                <w:sz w:val="16"/>
                <w:szCs w:val="16"/>
              </w:rPr>
            </w:pPr>
            <w:bookmarkStart w:id="0" w:name="_GoBack" w:colFirst="1" w:colLast="4"/>
            <w:r w:rsidRPr="005B3E2E">
              <w:rPr>
                <w:rFonts w:eastAsia="Calibri" w:cs="Times New Roman"/>
                <w:color w:val="1F497D"/>
                <w:sz w:val="16"/>
                <w:szCs w:val="16"/>
              </w:rPr>
              <w:t>glede vsebine PRILOGE 7 (str. 21 in 23 RD)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rPr>
                <w:rFonts w:eastAsia="Calibri" w:cs="Times New Roman"/>
                <w:color w:val="1F497D"/>
                <w:sz w:val="16"/>
                <w:szCs w:val="16"/>
              </w:rPr>
            </w:pPr>
            <w:r w:rsidRPr="005B3E2E">
              <w:rPr>
                <w:rFonts w:eastAsia="Calibri" w:cs="Times New Roman"/>
                <w:color w:val="1F497D"/>
                <w:sz w:val="16"/>
                <w:szCs w:val="16"/>
              </w:rPr>
              <w:t xml:space="preserve">Menimo, da je za pripravo smiselne ponudbe potrebno ponudnikom zagotoviti vsaj osnovno (enopolno) shemo integracije novega agregata v obstoječi sistem </w:t>
            </w:r>
            <w:proofErr w:type="spellStart"/>
            <w:r w:rsidRPr="005B3E2E">
              <w:rPr>
                <w:rFonts w:eastAsia="Calibri" w:cs="Times New Roman"/>
                <w:color w:val="1F497D"/>
                <w:sz w:val="16"/>
                <w:szCs w:val="16"/>
              </w:rPr>
              <w:t>agregatskega</w:t>
            </w:r>
            <w:proofErr w:type="spellEnd"/>
            <w:r w:rsidRPr="005B3E2E">
              <w:rPr>
                <w:rFonts w:eastAsia="Calibri" w:cs="Times New Roman"/>
                <w:color w:val="1F497D"/>
                <w:sz w:val="16"/>
                <w:szCs w:val="16"/>
              </w:rPr>
              <w:t xml:space="preserve"> napajanja.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Glej:</w:t>
            </w:r>
          </w:p>
          <w:p w:rsidR="005B3E2E" w:rsidRPr="005B3E2E" w:rsidRDefault="005B3E2E" w:rsidP="005B3E2E">
            <w:pPr>
              <w:pStyle w:val="Odstavekseznama"/>
              <w:numPr>
                <w:ilvl w:val="0"/>
                <w:numId w:val="3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enopolna shema vezave PEA (1. priponka-Shema_1P),</w:t>
            </w:r>
          </w:p>
          <w:p w:rsidR="005B3E2E" w:rsidRPr="005B3E2E" w:rsidRDefault="005B3E2E" w:rsidP="005B3E2E">
            <w:pPr>
              <w:pStyle w:val="Odstavekseznama"/>
              <w:numPr>
                <w:ilvl w:val="0"/>
                <w:numId w:val="3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 xml:space="preserve">vezalni načrt omare PEA (2. priponka-vezalni </w:t>
            </w:r>
            <w:proofErr w:type="spellStart"/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nacrt</w:t>
            </w:r>
            <w:proofErr w:type="spellEnd"/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 xml:space="preserve"> omare),</w:t>
            </w:r>
          </w:p>
          <w:p w:rsidR="005B3E2E" w:rsidRPr="005B3E2E" w:rsidRDefault="005B3E2E" w:rsidP="005B3E2E">
            <w:pPr>
              <w:pStyle w:val="Odstavekseznama"/>
              <w:numPr>
                <w:ilvl w:val="0"/>
                <w:numId w:val="3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tehnične smernice za priključitev PEA (3. priponka-16.4.2024 Tehnične zahteve KPK).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Glej:</w:t>
            </w:r>
          </w:p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- enopolna shema vezave PEA (4. priponka-Shema_1P KPA),</w:t>
            </w:r>
          </w:p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- tehnične smernice za priključitev PEA (5. priponka-23.4.2024 Tehnične zahteve KPA).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jc w:val="center"/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/</w:t>
            </w:r>
          </w:p>
        </w:tc>
      </w:tr>
      <w:tr w:rsidR="005B3E2E" w:rsidRPr="005B3E2E" w:rsidTr="005B3E2E">
        <w:trPr>
          <w:trHeight w:val="402"/>
        </w:trPr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pStyle w:val="Odstavekseznama"/>
              <w:numPr>
                <w:ilvl w:val="0"/>
                <w:numId w:val="1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glede vsebine PRILOGE 7 (str. 21 in 23 RD)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Hkrati je pomemben faktor pri pripravi ponudbe tudi aplikacija v kateri bo agregat deloval (SPTM, MINT,...), saj iz besedila razpisne dokumentacije le-ta ni razvidna.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Glej:</w:t>
            </w:r>
          </w:p>
          <w:p w:rsidR="005B3E2E" w:rsidRPr="005B3E2E" w:rsidRDefault="005B3E2E" w:rsidP="005B3E2E">
            <w:pPr>
              <w:pStyle w:val="Odstavekseznama"/>
              <w:numPr>
                <w:ilvl w:val="0"/>
                <w:numId w:val="3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enopolna shema vezave PEA (1. priponka-Shema_1P),</w:t>
            </w:r>
          </w:p>
          <w:p w:rsidR="005B3E2E" w:rsidRPr="005B3E2E" w:rsidRDefault="005B3E2E" w:rsidP="005B3E2E">
            <w:pPr>
              <w:pStyle w:val="Odstavekseznama"/>
              <w:numPr>
                <w:ilvl w:val="0"/>
                <w:numId w:val="3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 xml:space="preserve">vezalni načrt omare PEA (2. priponka-vezalni </w:t>
            </w:r>
            <w:proofErr w:type="spellStart"/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nacrt</w:t>
            </w:r>
            <w:proofErr w:type="spellEnd"/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 xml:space="preserve"> omare),</w:t>
            </w:r>
          </w:p>
          <w:p w:rsidR="005B3E2E" w:rsidRPr="005B3E2E" w:rsidRDefault="005B3E2E" w:rsidP="005B3E2E">
            <w:pPr>
              <w:pStyle w:val="Odstavekseznama"/>
              <w:numPr>
                <w:ilvl w:val="0"/>
                <w:numId w:val="3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tehnične smernice za priključitev PEA (3. priponka-16.4.2024 Tehnične zahteve KPK).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Glej:</w:t>
            </w:r>
          </w:p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- enopolna shema vezave PEA (4. priponka-Shema_1P KPA),</w:t>
            </w:r>
          </w:p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- tehnične smernice za priključitev PEA (5. priponka-23.4.2024 Tehnične zahteve KPA).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jc w:val="center"/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/</w:t>
            </w:r>
          </w:p>
        </w:tc>
      </w:tr>
      <w:tr w:rsidR="005B3E2E" w:rsidRPr="005B3E2E" w:rsidTr="005B3E2E">
        <w:trPr>
          <w:trHeight w:val="435"/>
        </w:trPr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pStyle w:val="Odstavekseznama"/>
              <w:numPr>
                <w:ilvl w:val="0"/>
                <w:numId w:val="1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glede vsebine PRILOGE 7 (str. 21 in 23 RD)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Prav tako iz besedila ni razvidno, ali je dobava preklopnega polja novega agregata predmet tega razpisa ali je priklopno polje na objektih že obstoječe.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Glej:</w:t>
            </w:r>
          </w:p>
          <w:p w:rsidR="005B3E2E" w:rsidRPr="005B3E2E" w:rsidRDefault="005B3E2E" w:rsidP="005B3E2E">
            <w:pPr>
              <w:pStyle w:val="Odstavekseznama"/>
              <w:numPr>
                <w:ilvl w:val="0"/>
                <w:numId w:val="3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enopolna shema vezave PEA (1. priponka-Shema_1P),</w:t>
            </w:r>
          </w:p>
          <w:p w:rsidR="005B3E2E" w:rsidRPr="005B3E2E" w:rsidRDefault="005B3E2E" w:rsidP="005B3E2E">
            <w:pPr>
              <w:pStyle w:val="Odstavekseznama"/>
              <w:numPr>
                <w:ilvl w:val="0"/>
                <w:numId w:val="3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 xml:space="preserve">vezalni načrt omare PEA (2. priponka-vezalni </w:t>
            </w:r>
            <w:proofErr w:type="spellStart"/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nacrt</w:t>
            </w:r>
            <w:proofErr w:type="spellEnd"/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 xml:space="preserve"> omare),</w:t>
            </w:r>
          </w:p>
          <w:p w:rsidR="005B3E2E" w:rsidRPr="005B3E2E" w:rsidRDefault="005B3E2E" w:rsidP="005B3E2E">
            <w:pPr>
              <w:pStyle w:val="Odstavekseznama"/>
              <w:numPr>
                <w:ilvl w:val="0"/>
                <w:numId w:val="3"/>
              </w:numPr>
              <w:rPr>
                <w:rFonts w:ascii="Trebuchet MS" w:hAnsi="Trebuchet MS"/>
                <w:b/>
                <w:bCs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tehnične smernice za priključitev PEA (3. priponka-16.4.2024 Tehnične zahteve KPK).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Glej:</w:t>
            </w:r>
          </w:p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- enopolna shema vezave PEA (4. priponka-Shema_1P KPA),</w:t>
            </w:r>
          </w:p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- tehnične smernice za priključitev PEA (5. priponka-23.4.2024 Tehnične zahteve KPA).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jc w:val="center"/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/</w:t>
            </w:r>
          </w:p>
        </w:tc>
      </w:tr>
      <w:tr w:rsidR="005B3E2E" w:rsidRPr="005B3E2E" w:rsidTr="005B3E2E">
        <w:trPr>
          <w:trHeight w:val="402"/>
        </w:trPr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pStyle w:val="Odstavekseznama"/>
              <w:numPr>
                <w:ilvl w:val="0"/>
                <w:numId w:val="1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glede vsebine PRILOGE 7 (str. 21 in 23 RD)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Prosimo naročnika za pojasnilo in/ali dopolnitev pomena točke “zaščita za samodejen izklop” – kakšen samodejen izklop je naročnik predvidel in kakšni pogoji morajo biti izpolnjeni za samodejen izklop agregata.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Glej Priloga 7, Sklop 1, 3. odstavek - 3. in 4. alineja (zaščita motorja, zaščita generatorja) ter 6. odstavek (ostale zahteve).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Glej Priloga 7, Sklop 2, 3. odstavek - 3. in 4. alineja (zaščita motorja, zaščita generatorja) ter 6. odstavek (ostale zahteve).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jc w:val="center"/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/</w:t>
            </w:r>
          </w:p>
        </w:tc>
      </w:tr>
      <w:bookmarkEnd w:id="0"/>
      <w:tr w:rsidR="005B3E2E" w:rsidRPr="005B3E2E" w:rsidTr="005B3E2E">
        <w:trPr>
          <w:trHeight w:val="1832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pStyle w:val="Odstavekseznama"/>
              <w:numPr>
                <w:ilvl w:val="0"/>
                <w:numId w:val="1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lastRenderedPageBreak/>
              <w:t>glede vsebine PRILOGE 7 (str. 21 in 23 RD)</w:t>
            </w:r>
          </w:p>
        </w:tc>
        <w:tc>
          <w:tcPr>
            <w:tcW w:w="3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V nadaljevanju istega razdelka je naročnik pod minimalno zahtevano opremo navedel tudi “pregretje motorja”. Je naročnik s tem želel pojasniti, da zahteva zaščito za izklop motorja v primeru pregrevanja ali je prišlo do napake pri zapisu in naročnik želi, da imata ponujena agregata sistem za predgretje motorja?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Da, tako je, gre za tipkarsko napako in ponudnik pravilno razume, da ponujena agregata morata imeti sistem za predgretje motorja.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Da, tako je, gre za tipkarsko napako in ponudnik pravilno razume, da ponujena agregata morata imeti sistem za predgretje motorja.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jc w:val="center"/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/</w:t>
            </w:r>
          </w:p>
        </w:tc>
      </w:tr>
      <w:tr w:rsidR="005B3E2E" w:rsidRPr="005B3E2E" w:rsidTr="005B3E2E">
        <w:trPr>
          <w:trHeight w:val="2396"/>
        </w:trPr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pStyle w:val="Odstavekseznama"/>
              <w:numPr>
                <w:ilvl w:val="0"/>
                <w:numId w:val="1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glede vsebine PRILOGE 7 (str. 21 in 23 RD)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V delu, ki govori o zagotavljanju preventivnega vzdrževanja navedeno: “(navesti število obveznih in priporočenih servisov na leto glede na število delovnih ur)”. Glede na zapisano predvidevamo, da naročnik želi, da mu informacijo o priporočenih servisnih pregledih poda ponudnik, a pregledu razpisne dokumentacije nismo našli razdelka, kamor bi ta podatek vpisali.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Glede servisov mora dobavitelj podati število servisov za predvidenih 250 ur/ leto, ki se opravijo v sklopu garancije.</w:t>
            </w:r>
          </w:p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Ponudnik naj podatek vpiše v opombi k ponudbi.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Glede servisov mora dobavitelj podati število servisov za predvidenih 250 ur/ leto, ki se opravijo v sklopu garancije.</w:t>
            </w:r>
          </w:p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Ponudnik naj podatek vpiše v opombi k ponudbi.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jc w:val="center"/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/</w:t>
            </w:r>
          </w:p>
        </w:tc>
      </w:tr>
      <w:tr w:rsidR="005B3E2E" w:rsidRPr="005B3E2E" w:rsidTr="005B3E2E">
        <w:trPr>
          <w:trHeight w:val="4359"/>
        </w:trPr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pStyle w:val="Odstavekseznama"/>
              <w:numPr>
                <w:ilvl w:val="0"/>
                <w:numId w:val="1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glede vsebine PRILOGE 7 (str. 23)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Naročnika prosimo za dodatno pojasnilo glede navedenih signalov: “zunanji start, zunanja normalna zaustavitev, zunanja onemogočitev starta, možnost avtomatskega zagona ob izpadu mreže, zunanji signal za zaustavitev v sili, posredovanje splošnega alarma, posredovanje zaustavitve, posredovanje pripravljenosti za obratovanje.”. Ali gre pri navedenih signalih za signale, ki jih agregat sprejema in oddaja preko binarnih vhodov in izhodov (</w:t>
            </w:r>
            <w:proofErr w:type="spellStart"/>
            <w:r w:rsidRPr="005B3E2E">
              <w:rPr>
                <w:color w:val="1F497D"/>
                <w:sz w:val="16"/>
                <w:szCs w:val="16"/>
              </w:rPr>
              <w:t>breznapetostni</w:t>
            </w:r>
            <w:proofErr w:type="spellEnd"/>
            <w:r w:rsidRPr="005B3E2E">
              <w:rPr>
                <w:color w:val="1F497D"/>
                <w:sz w:val="16"/>
                <w:szCs w:val="16"/>
              </w:rPr>
              <w:t xml:space="preserve"> vhodi in izhodi), ali naročnik želi signale prejemati in oddajati preko internetne povezave, oziroma kako drugače (če da, kako). V primeru binarnih vhodov in izhodov nas zanima tudi, če je ustrezna oprema (stikala za vhode, svetilke za izhode,…) že prisotna na objektu ali naročnik želi, da jo ponudnik ponudi v okviru tega razpisa.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jc w:val="center"/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/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Glej Priloga 7, Sklop 2, 3. odstavek - 6. alineja (komunikacija in signali). Dodatno glej:</w:t>
            </w:r>
          </w:p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- enopolna shema vezave PEA (4. priponka-Shema_1P KPA),</w:t>
            </w:r>
          </w:p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- tehnične smernice za priključitev PEA (5. priponka-23.4.2024 Tehnične zahteve KPA).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jc w:val="center"/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/</w:t>
            </w:r>
          </w:p>
        </w:tc>
      </w:tr>
      <w:tr w:rsidR="00252602" w:rsidRPr="005B3E2E" w:rsidTr="00B47A65">
        <w:trPr>
          <w:trHeight w:val="402"/>
        </w:trPr>
        <w:tc>
          <w:tcPr>
            <w:tcW w:w="14350" w:type="dxa"/>
            <w:gridSpan w:val="5"/>
            <w:vAlign w:val="center"/>
          </w:tcPr>
          <w:p w:rsidR="00252602" w:rsidRPr="005B3E2E" w:rsidRDefault="00252602" w:rsidP="00252602">
            <w:pPr>
              <w:rPr>
                <w:rFonts w:eastAsia="Calibri" w:cs="Times New Roman"/>
                <w:color w:val="1F497D"/>
                <w:sz w:val="16"/>
                <w:szCs w:val="16"/>
              </w:rPr>
            </w:pPr>
            <w:r w:rsidRPr="005B3E2E">
              <w:rPr>
                <w:rFonts w:eastAsia="Calibri" w:cs="Times New Roman"/>
                <w:color w:val="1F497D"/>
                <w:sz w:val="16"/>
                <w:szCs w:val="16"/>
              </w:rPr>
              <w:lastRenderedPageBreak/>
              <w:t>Vprašanja z dne 18. 4. 2024 ob 10.32</w:t>
            </w:r>
          </w:p>
        </w:tc>
      </w:tr>
      <w:tr w:rsidR="005B3E2E" w:rsidRPr="005B3E2E" w:rsidTr="005B3E2E">
        <w:trPr>
          <w:trHeight w:val="402"/>
        </w:trPr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pStyle w:val="Odstavekseznama"/>
              <w:numPr>
                <w:ilvl w:val="0"/>
                <w:numId w:val="1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glede vsebine PRILOGE 6 (str. 17 in 18)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Kot tu razumem je na lokaciji že obstoječi DEA. A se tu gre v paralelno vezavo (</w:t>
            </w:r>
            <w:proofErr w:type="spellStart"/>
            <w:r w:rsidRPr="005B3E2E">
              <w:rPr>
                <w:color w:val="1F497D"/>
                <w:sz w:val="16"/>
                <w:szCs w:val="16"/>
              </w:rPr>
              <w:t>sinhornizacijo</w:t>
            </w:r>
            <w:proofErr w:type="spellEnd"/>
            <w:r w:rsidRPr="005B3E2E">
              <w:rPr>
                <w:color w:val="1F497D"/>
                <w:sz w:val="16"/>
                <w:szCs w:val="16"/>
              </w:rPr>
              <w:t>)? Prosim za karakteristike obstoječega DEA.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Glej:</w:t>
            </w:r>
          </w:p>
          <w:p w:rsidR="005B3E2E" w:rsidRPr="005B3E2E" w:rsidRDefault="005B3E2E" w:rsidP="005B3E2E">
            <w:pPr>
              <w:pStyle w:val="Odstavekseznama"/>
              <w:numPr>
                <w:ilvl w:val="0"/>
                <w:numId w:val="3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enopolna shema vezave PEA (1. priponka-Shema_1P),</w:t>
            </w:r>
          </w:p>
          <w:p w:rsidR="005B3E2E" w:rsidRPr="005B3E2E" w:rsidRDefault="005B3E2E" w:rsidP="005B3E2E">
            <w:pPr>
              <w:pStyle w:val="Odstavekseznama"/>
              <w:numPr>
                <w:ilvl w:val="0"/>
                <w:numId w:val="3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 xml:space="preserve">vezalni načrt omare PEA (2. priponka-vezalni </w:t>
            </w:r>
            <w:proofErr w:type="spellStart"/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nacrt</w:t>
            </w:r>
            <w:proofErr w:type="spellEnd"/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 xml:space="preserve"> omare),</w:t>
            </w:r>
          </w:p>
          <w:p w:rsidR="005B3E2E" w:rsidRPr="005B3E2E" w:rsidRDefault="005B3E2E" w:rsidP="005B3E2E">
            <w:pPr>
              <w:pStyle w:val="Odstavekseznama"/>
              <w:numPr>
                <w:ilvl w:val="0"/>
                <w:numId w:val="3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tehnične smernice za priključitev PEA (3. priponka-16.4.2024 Tehnične zahteve KPK).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Glej:</w:t>
            </w:r>
          </w:p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- enopolna shema vezave PEA (4. priponka-Shema_1P KPA),</w:t>
            </w:r>
          </w:p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- tehnične smernice za priključitev PEA (5. priponka-23.4.2024 Tehnične zahteve KPA).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jc w:val="center"/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/</w:t>
            </w:r>
          </w:p>
        </w:tc>
      </w:tr>
      <w:tr w:rsidR="005B3E2E" w:rsidRPr="005B3E2E" w:rsidTr="005B3E2E">
        <w:trPr>
          <w:trHeight w:val="402"/>
        </w:trPr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pStyle w:val="Odstavekseznama"/>
              <w:numPr>
                <w:ilvl w:val="0"/>
                <w:numId w:val="1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glede vsebine PRILOGE 7 (str. 21 in 23 RD)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 xml:space="preserve">Zahteva v popisu za sklop 1 je: Delovni tlak goriva (ZP): v območju 20 - 50 </w:t>
            </w:r>
            <w:proofErr w:type="spellStart"/>
            <w:r w:rsidRPr="005B3E2E">
              <w:rPr>
                <w:color w:val="1F497D"/>
                <w:sz w:val="16"/>
                <w:szCs w:val="16"/>
              </w:rPr>
              <w:t>mbar</w:t>
            </w:r>
            <w:proofErr w:type="spellEnd"/>
            <w:r w:rsidRPr="005B3E2E">
              <w:rPr>
                <w:color w:val="1F497D"/>
                <w:sz w:val="16"/>
                <w:szCs w:val="16"/>
              </w:rPr>
              <w:t xml:space="preserve">.: Opcijo imamo mi za ta primer 17-27mbar. Ker višja številka sovpada z zahtevo predvidevam da je to OK. • Delovni tlak goriva (ZP): v območju 20 - 100 </w:t>
            </w:r>
            <w:proofErr w:type="spellStart"/>
            <w:r w:rsidRPr="005B3E2E">
              <w:rPr>
                <w:color w:val="1F497D"/>
                <w:sz w:val="16"/>
                <w:szCs w:val="16"/>
              </w:rPr>
              <w:t>mbar</w:t>
            </w:r>
            <w:proofErr w:type="spellEnd"/>
            <w:r w:rsidRPr="005B3E2E">
              <w:rPr>
                <w:color w:val="1F497D"/>
                <w:sz w:val="16"/>
                <w:szCs w:val="16"/>
              </w:rPr>
              <w:t>.: Opcijo imamo mi za ta primer minimalno 100mbar. Ker številka sovpada z zahtevo predvidevam da je to OK.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 xml:space="preserve">Naročnik za Sklop 1 potrjuje, da je območje delovnega tlaka goriva ZP od 20 do 27 </w:t>
            </w:r>
            <w:proofErr w:type="spellStart"/>
            <w:r w:rsidRPr="005B3E2E">
              <w:rPr>
                <w:color w:val="1F497D"/>
                <w:sz w:val="16"/>
                <w:szCs w:val="16"/>
              </w:rPr>
              <w:t>mbar</w:t>
            </w:r>
            <w:proofErr w:type="spellEnd"/>
            <w:r w:rsidRPr="005B3E2E">
              <w:rPr>
                <w:color w:val="1F497D"/>
                <w:sz w:val="16"/>
                <w:szCs w:val="16"/>
              </w:rPr>
              <w:t xml:space="preserve"> ustrezno. 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 xml:space="preserve">Naročnik za Sklop 2 poziva ponudnike, da ponudijo agregat za območje delovnega tlaka goriva ZP od 20 do 100 </w:t>
            </w:r>
            <w:proofErr w:type="spellStart"/>
            <w:r w:rsidRPr="005B3E2E">
              <w:rPr>
                <w:color w:val="1F497D"/>
                <w:sz w:val="16"/>
                <w:szCs w:val="16"/>
              </w:rPr>
              <w:t>mbar</w:t>
            </w:r>
            <w:proofErr w:type="spellEnd"/>
            <w:r w:rsidRPr="005B3E2E">
              <w:rPr>
                <w:color w:val="1F497D"/>
                <w:sz w:val="16"/>
                <w:szCs w:val="16"/>
              </w:rPr>
              <w:t>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jc w:val="center"/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/</w:t>
            </w:r>
          </w:p>
        </w:tc>
      </w:tr>
      <w:tr w:rsidR="005B3E2E" w:rsidRPr="005B3E2E" w:rsidTr="005B3E2E">
        <w:trPr>
          <w:trHeight w:val="402"/>
        </w:trPr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pStyle w:val="Odstavekseznama"/>
              <w:numPr>
                <w:ilvl w:val="0"/>
                <w:numId w:val="1"/>
              </w:numPr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</w:pPr>
            <w:r w:rsidRPr="005B3E2E">
              <w:rPr>
                <w:rFonts w:ascii="Trebuchet MS" w:hAnsi="Trebuchet MS"/>
                <w:color w:val="1F497D"/>
                <w:sz w:val="16"/>
                <w:szCs w:val="16"/>
                <w:lang w:eastAsia="en-US"/>
              </w:rPr>
              <w:t>glede vsebine na str. 4 za sklop 3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Pri sklopu 3 imate zapisano na strani 4. »Dograditev rezervnega napajanja na plinskih postajah.«. A so na lokacijah že obstoječi agregati? Kaj natančno zajema dograditev? Prosim tudi za seznam lokacij za te montaže.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jc w:val="center"/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/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B3E2E" w:rsidRPr="005B3E2E" w:rsidRDefault="005B3E2E" w:rsidP="005B3E2E">
            <w:pPr>
              <w:jc w:val="center"/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/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B3E2E" w:rsidRPr="005B3E2E" w:rsidRDefault="005B3E2E" w:rsidP="005B3E2E">
            <w:pPr>
              <w:rPr>
                <w:color w:val="1F497D"/>
                <w:sz w:val="16"/>
                <w:szCs w:val="16"/>
              </w:rPr>
            </w:pPr>
            <w:r w:rsidRPr="005B3E2E">
              <w:rPr>
                <w:color w:val="1F497D"/>
                <w:sz w:val="16"/>
                <w:szCs w:val="16"/>
              </w:rPr>
              <w:t>Na lokacijah, kjer bomo vgradili DEA po tem naročilu še ni vgrajenih agregatov, razen na objektu MRP Jesenice, kjer bo obstoječi agregat odstranjen. Iz zapisa v RD -  Priloga 6, Sklop 3 (Dograditev rezervnega napajanja na plinskih postajah) je razvidno, da gre za dobavo agregatov in pripadajoče opreme, na lokacije: Jesenice (MRP Levi breg, MRP Bela), Vransko in Ljubljana (deponiranje odstranjenega agregata z Jesenic).</w:t>
            </w:r>
          </w:p>
        </w:tc>
      </w:tr>
    </w:tbl>
    <w:p w:rsidR="00252602" w:rsidRPr="00252602" w:rsidRDefault="00252602" w:rsidP="00252602">
      <w:pPr>
        <w:spacing w:after="0" w:line="240" w:lineRule="auto"/>
        <w:rPr>
          <w:rFonts w:eastAsia="Calibri" w:cs="Times New Roman"/>
          <w:color w:val="1F497D"/>
          <w:sz w:val="16"/>
          <w:szCs w:val="16"/>
        </w:rPr>
      </w:pPr>
    </w:p>
    <w:p w:rsidR="00252602" w:rsidRPr="00252602" w:rsidRDefault="00252602" w:rsidP="00252602">
      <w:pPr>
        <w:spacing w:after="0" w:line="240" w:lineRule="auto"/>
        <w:rPr>
          <w:rFonts w:eastAsia="Calibri" w:cs="Times New Roman"/>
          <w:color w:val="1F497D"/>
          <w:sz w:val="16"/>
          <w:szCs w:val="16"/>
        </w:rPr>
      </w:pPr>
    </w:p>
    <w:p w:rsidR="001C2CA6" w:rsidRPr="00252602" w:rsidRDefault="001C2CA6">
      <w:pPr>
        <w:rPr>
          <w:sz w:val="16"/>
          <w:szCs w:val="16"/>
        </w:rPr>
      </w:pPr>
    </w:p>
    <w:sectPr w:rsidR="001C2CA6" w:rsidRPr="00252602" w:rsidSect="0025260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9729C"/>
    <w:multiLevelType w:val="hybridMultilevel"/>
    <w:tmpl w:val="08026E2A"/>
    <w:lvl w:ilvl="0" w:tplc="CEEE06A4">
      <w:start w:val="1"/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E63534"/>
    <w:multiLevelType w:val="hybridMultilevel"/>
    <w:tmpl w:val="5DB0C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602"/>
    <w:rsid w:val="001C2CA6"/>
    <w:rsid w:val="00252602"/>
    <w:rsid w:val="005B3E2E"/>
    <w:rsid w:val="00B4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F8AA28-A903-40F4-961D-C00EA67B6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52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526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1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Zagožen Matej</dc:creator>
  <cp:keywords/>
  <dc:description/>
  <cp:lastModifiedBy>Zagožen Matej</cp:lastModifiedBy>
  <cp:revision>2</cp:revision>
  <dcterms:created xsi:type="dcterms:W3CDTF">2024-04-24T10:05:00Z</dcterms:created>
  <dcterms:modified xsi:type="dcterms:W3CDTF">2024-04-24T10:05:00Z</dcterms:modified>
</cp:coreProperties>
</file>